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7E9E0" w14:textId="18DA3D4A" w:rsidR="008855EF" w:rsidRPr="00BA0E54" w:rsidRDefault="008855EF" w:rsidP="008855EF">
      <w:pPr>
        <w:rPr>
          <w:b/>
          <w:bCs/>
          <w:i/>
          <w:iCs/>
          <w:sz w:val="28"/>
          <w:szCs w:val="28"/>
        </w:rPr>
      </w:pPr>
      <w:r>
        <w:rPr>
          <w:b/>
          <w:bCs/>
          <w:i/>
          <w:iCs/>
          <w:sz w:val="28"/>
          <w:szCs w:val="28"/>
        </w:rPr>
        <w:br/>
      </w:r>
      <w:r w:rsidRPr="00BA0E54">
        <w:rPr>
          <w:b/>
          <w:bCs/>
          <w:i/>
          <w:iCs/>
          <w:sz w:val="28"/>
          <w:szCs w:val="28"/>
        </w:rPr>
        <w:t xml:space="preserve">HOW TO USE THIS </w:t>
      </w:r>
      <w:r>
        <w:rPr>
          <w:b/>
          <w:bCs/>
          <w:i/>
          <w:iCs/>
          <w:sz w:val="28"/>
          <w:szCs w:val="28"/>
        </w:rPr>
        <w:t xml:space="preserve">GUIDE </w:t>
      </w:r>
      <w:r w:rsidRPr="00BA0E54">
        <w:rPr>
          <w:b/>
          <w:bCs/>
          <w:i/>
          <w:iCs/>
          <w:sz w:val="28"/>
          <w:szCs w:val="28"/>
        </w:rPr>
        <w:t xml:space="preserve">SPECIFICATION </w:t>
      </w:r>
    </w:p>
    <w:p w14:paraId="715BA482" w14:textId="77777777" w:rsidR="008855EF" w:rsidRDefault="008855EF" w:rsidP="000A590C">
      <w:pPr>
        <w:spacing w:after="120"/>
        <w:rPr>
          <w:b/>
          <w:bCs/>
          <w:i/>
          <w:iCs/>
        </w:rPr>
      </w:pPr>
      <w:r>
        <w:rPr>
          <w:b/>
          <w:bCs/>
          <w:i/>
          <w:iCs/>
        </w:rPr>
        <w:t>Guidelines</w:t>
      </w:r>
    </w:p>
    <w:p w14:paraId="63C30037" w14:textId="77777777" w:rsidR="008855EF" w:rsidRDefault="008855EF" w:rsidP="008855EF">
      <w:pPr>
        <w:spacing w:after="60"/>
        <w:rPr>
          <w:bCs/>
          <w:i/>
          <w:iCs/>
        </w:rPr>
      </w:pPr>
      <w:r w:rsidRPr="00006016">
        <w:rPr>
          <w:bCs/>
          <w:i/>
          <w:iCs/>
        </w:rPr>
        <w:t xml:space="preserve">This </w:t>
      </w:r>
      <w:r>
        <w:rPr>
          <w:bCs/>
          <w:i/>
          <w:iCs/>
        </w:rPr>
        <w:t xml:space="preserve">guide specification is prepared for use by the Specification Writer associated with </w:t>
      </w:r>
      <w:r w:rsidRPr="00E557F2">
        <w:rPr>
          <w:i/>
        </w:rPr>
        <w:t xml:space="preserve">technical information in the </w:t>
      </w:r>
      <w:r w:rsidRPr="00AD6622">
        <w:rPr>
          <w:b/>
          <w:bCs/>
          <w:i/>
        </w:rPr>
        <w:t>Metinno Product Portfolio</w:t>
      </w:r>
      <w:r>
        <w:t xml:space="preserve"> </w:t>
      </w:r>
      <w:r>
        <w:rPr>
          <w:bCs/>
          <w:i/>
          <w:iCs/>
        </w:rPr>
        <w:t xml:space="preserve">for preparation of project specific documentation. </w:t>
      </w:r>
    </w:p>
    <w:p w14:paraId="4AEC3AE3" w14:textId="77777777" w:rsidR="008855EF" w:rsidRDefault="008855EF" w:rsidP="008855EF">
      <w:pPr>
        <w:spacing w:after="60"/>
        <w:rPr>
          <w:bCs/>
          <w:i/>
          <w:iCs/>
        </w:rPr>
      </w:pPr>
      <w:r>
        <w:rPr>
          <w:bCs/>
          <w:i/>
          <w:iCs/>
        </w:rPr>
        <w:t xml:space="preserve">It is addressed to the Contractor as an instruction and uses terms such as “provide” “submit” etc. The project specification is to be prepared to meet project specific requirements with data meeting project specific conditions with complete design information. </w:t>
      </w:r>
    </w:p>
    <w:p w14:paraId="639BE86F" w14:textId="77777777" w:rsidR="008855EF" w:rsidRDefault="008855EF" w:rsidP="008855EF">
      <w:pPr>
        <w:spacing w:after="60"/>
        <w:rPr>
          <w:bCs/>
          <w:i/>
          <w:iCs/>
        </w:rPr>
      </w:pPr>
      <w:r>
        <w:rPr>
          <w:bCs/>
          <w:i/>
          <w:iCs/>
        </w:rPr>
        <w:t xml:space="preserve">It remains the responsibility of the Specification Writer to understand that the final document </w:t>
      </w:r>
      <w:r w:rsidRPr="00CA5B7F">
        <w:rPr>
          <w:bCs/>
          <w:i/>
          <w:iCs/>
        </w:rPr>
        <w:t>needs</w:t>
      </w:r>
      <w:r>
        <w:rPr>
          <w:bCs/>
          <w:i/>
          <w:iCs/>
        </w:rPr>
        <w:t xml:space="preserve"> coordination with use of different components of and use of additional sound attenuated material with overall compliance with the National Construction Code. </w:t>
      </w:r>
    </w:p>
    <w:p w14:paraId="6F30DF96" w14:textId="77777777" w:rsidR="008855EF" w:rsidRDefault="008855EF" w:rsidP="008855EF">
      <w:pPr>
        <w:pStyle w:val="BodyText2"/>
        <w:spacing w:after="60"/>
      </w:pPr>
      <w:r>
        <w:t xml:space="preserve">The guide specification is to be used in conjunction with </w:t>
      </w:r>
      <w:r w:rsidRPr="00CA5B7F">
        <w:t>architectural / building designer’s structural drawings</w:t>
      </w:r>
      <w:r>
        <w:t xml:space="preserve"> (as applicable) and meeting the product manufacturer’s technical data requirements as partition components are non-structural. </w:t>
      </w:r>
    </w:p>
    <w:p w14:paraId="40FE6199" w14:textId="77777777" w:rsidR="008855EF" w:rsidRDefault="008855EF" w:rsidP="008855EF">
      <w:pPr>
        <w:pStyle w:val="BodyText2"/>
        <w:spacing w:after="240"/>
      </w:pPr>
      <w:r>
        <w:t xml:space="preserve">Standard components of these systems are not load bearing and are not fire and sound rated. </w:t>
      </w:r>
    </w:p>
    <w:p w14:paraId="79F2F7D4" w14:textId="77777777" w:rsidR="008855EF" w:rsidRDefault="008855EF" w:rsidP="000A590C">
      <w:pPr>
        <w:spacing w:after="120"/>
        <w:rPr>
          <w:b/>
          <w:bCs/>
          <w:i/>
          <w:iCs/>
        </w:rPr>
      </w:pPr>
      <w:r w:rsidRPr="00702CA4">
        <w:rPr>
          <w:b/>
          <w:bCs/>
          <w:i/>
          <w:iCs/>
        </w:rPr>
        <w:t>Components</w:t>
      </w:r>
    </w:p>
    <w:p w14:paraId="791A8AA1" w14:textId="77777777" w:rsidR="008855EF" w:rsidRDefault="008855EF" w:rsidP="008855EF">
      <w:pPr>
        <w:rPr>
          <w:bCs/>
          <w:i/>
          <w:iCs/>
        </w:rPr>
      </w:pPr>
      <w:r w:rsidRPr="00702CA4">
        <w:rPr>
          <w:bCs/>
          <w:i/>
          <w:iCs/>
        </w:rPr>
        <w:t xml:space="preserve">This guide specification is written for the following components of </w:t>
      </w:r>
      <w:r w:rsidRPr="00AD6622">
        <w:rPr>
          <w:b/>
          <w:i/>
          <w:iCs/>
        </w:rPr>
        <w:t>Metinno Product Portfolio</w:t>
      </w:r>
      <w:r w:rsidRPr="00702CA4">
        <w:rPr>
          <w:bCs/>
          <w:i/>
          <w:iCs/>
        </w:rPr>
        <w:t xml:space="preserve"> publication:</w:t>
      </w:r>
    </w:p>
    <w:p w14:paraId="0A454431" w14:textId="77777777" w:rsidR="008855EF" w:rsidRDefault="008855EF" w:rsidP="008855EF">
      <w:pPr>
        <w:numPr>
          <w:ilvl w:val="0"/>
          <w:numId w:val="7"/>
        </w:numPr>
        <w:spacing w:before="0" w:after="0" w:line="240" w:lineRule="auto"/>
        <w:rPr>
          <w:bCs/>
          <w:i/>
          <w:iCs/>
        </w:rPr>
      </w:pPr>
      <w:r>
        <w:rPr>
          <w:bCs/>
          <w:i/>
          <w:iCs/>
        </w:rPr>
        <w:t>Aluminium Partitioning Systems</w:t>
      </w:r>
    </w:p>
    <w:p w14:paraId="1E55CF77" w14:textId="77777777" w:rsidR="008855EF" w:rsidRPr="00702CA4" w:rsidRDefault="008855EF" w:rsidP="008855EF">
      <w:pPr>
        <w:numPr>
          <w:ilvl w:val="0"/>
          <w:numId w:val="7"/>
        </w:numPr>
        <w:spacing w:before="0" w:after="240" w:line="240" w:lineRule="auto"/>
        <w:rPr>
          <w:bCs/>
          <w:i/>
          <w:iCs/>
        </w:rPr>
      </w:pPr>
      <w:r>
        <w:rPr>
          <w:bCs/>
          <w:i/>
          <w:iCs/>
        </w:rPr>
        <w:t>Aluminium Door Systems</w:t>
      </w:r>
    </w:p>
    <w:p w14:paraId="5D04BC87" w14:textId="77777777" w:rsidR="008855EF" w:rsidRDefault="008855EF" w:rsidP="000A590C">
      <w:pPr>
        <w:spacing w:after="120"/>
        <w:rPr>
          <w:b/>
          <w:bCs/>
          <w:i/>
          <w:iCs/>
        </w:rPr>
      </w:pPr>
      <w:r>
        <w:rPr>
          <w:b/>
          <w:bCs/>
          <w:i/>
          <w:iCs/>
        </w:rPr>
        <w:t>Associated Documents</w:t>
      </w:r>
    </w:p>
    <w:p w14:paraId="19C17F01" w14:textId="77777777" w:rsidR="008855EF" w:rsidRDefault="008855EF" w:rsidP="008855EF">
      <w:pPr>
        <w:pStyle w:val="BodyText2"/>
        <w:spacing w:after="60"/>
      </w:pPr>
      <w:r>
        <w:t>The project specific specification is to be written with direct reference to</w:t>
      </w:r>
      <w:r w:rsidRPr="00AD6622">
        <w:rPr>
          <w:b/>
          <w:bCs/>
        </w:rPr>
        <w:t xml:space="preserve"> Metinno Product Portfolio</w:t>
      </w:r>
      <w:r>
        <w:t xml:space="preserve"> </w:t>
      </w:r>
      <w:r w:rsidRPr="00913136">
        <w:rPr>
          <w:bCs/>
          <w:iCs w:val="0"/>
        </w:rPr>
        <w:t>publication</w:t>
      </w:r>
      <w:r>
        <w:rPr>
          <w:bCs/>
          <w:iCs w:val="0"/>
        </w:rPr>
        <w:t xml:space="preserve">, available at </w:t>
      </w:r>
      <w:hyperlink r:id="rId7" w:history="1">
        <w:r w:rsidRPr="00786252">
          <w:t>www.adxarchitectural.com.au/resources</w:t>
        </w:r>
      </w:hyperlink>
      <w:r>
        <w:rPr>
          <w:bCs/>
          <w:iCs w:val="0"/>
        </w:rPr>
        <w:t>,</w:t>
      </w:r>
      <w:r>
        <w:rPr>
          <w:bCs/>
          <w:i w:val="0"/>
          <w:iCs w:val="0"/>
        </w:rPr>
        <w:t xml:space="preserve"> </w:t>
      </w:r>
      <w:r>
        <w:t>and it is suggested that in preparing the specification, the following additional design information is to be included:</w:t>
      </w:r>
    </w:p>
    <w:p w14:paraId="2F321BC9" w14:textId="77777777" w:rsidR="008855EF" w:rsidRPr="00CA5B7F" w:rsidRDefault="008855EF" w:rsidP="008855EF">
      <w:pPr>
        <w:pStyle w:val="BodyText2"/>
        <w:numPr>
          <w:ilvl w:val="0"/>
          <w:numId w:val="7"/>
        </w:numPr>
        <w:spacing w:after="120"/>
      </w:pPr>
      <w:r w:rsidRPr="00CA5B7F">
        <w:t xml:space="preserve">Associated documents such as project specific information confirming meeting National Construction Code requirements, including access requirements. </w:t>
      </w:r>
    </w:p>
    <w:p w14:paraId="3060C05E" w14:textId="77777777" w:rsidR="008855EF" w:rsidRPr="00CA5B7F" w:rsidRDefault="008855EF" w:rsidP="008855EF">
      <w:pPr>
        <w:pStyle w:val="BodyText2"/>
        <w:spacing w:after="240"/>
      </w:pPr>
      <w:r w:rsidRPr="00CA5B7F">
        <w:t xml:space="preserve">This is specifically important for access provisions of the National Construction Code as components need to comply with AS 1428.1 for design of widths of doorways and flush finish at floor level. </w:t>
      </w:r>
    </w:p>
    <w:p w14:paraId="0AC0A188" w14:textId="77777777" w:rsidR="008855EF" w:rsidRDefault="008855EF" w:rsidP="000A590C">
      <w:pPr>
        <w:spacing w:after="120"/>
        <w:rPr>
          <w:b/>
          <w:bCs/>
          <w:i/>
          <w:iCs/>
        </w:rPr>
      </w:pPr>
      <w:r>
        <w:rPr>
          <w:b/>
          <w:bCs/>
          <w:i/>
          <w:iCs/>
        </w:rPr>
        <w:t>Quality Control</w:t>
      </w:r>
    </w:p>
    <w:p w14:paraId="1B01878B" w14:textId="77777777" w:rsidR="008855EF" w:rsidRDefault="008855EF" w:rsidP="008855EF">
      <w:pPr>
        <w:spacing w:after="60"/>
        <w:rPr>
          <w:bCs/>
          <w:i/>
          <w:iCs/>
        </w:rPr>
      </w:pPr>
      <w:r w:rsidRPr="00913136">
        <w:rPr>
          <w:bCs/>
          <w:i/>
          <w:iCs/>
        </w:rPr>
        <w:t>All</w:t>
      </w:r>
      <w:r>
        <w:rPr>
          <w:bCs/>
          <w:i/>
          <w:iCs/>
        </w:rPr>
        <w:t xml:space="preserve"> installations are to be in strict accordance with written publications of the product manufacturer and to specific quality control measures required by the Contract Administrator.</w:t>
      </w:r>
    </w:p>
    <w:p w14:paraId="24B9AE9F" w14:textId="77777777" w:rsidR="008855EF" w:rsidRPr="00913136" w:rsidRDefault="008855EF" w:rsidP="008855EF">
      <w:pPr>
        <w:spacing w:after="240"/>
        <w:rPr>
          <w:bCs/>
          <w:i/>
          <w:iCs/>
        </w:rPr>
      </w:pPr>
      <w:r>
        <w:rPr>
          <w:bCs/>
          <w:i/>
          <w:iCs/>
        </w:rPr>
        <w:t xml:space="preserve">Project specific quality control measures may have project specific requirements and it remains the responsibility of the Specification Writer to address these issues. </w:t>
      </w:r>
    </w:p>
    <w:p w14:paraId="026CDC69" w14:textId="77777777" w:rsidR="008855EF" w:rsidRDefault="008855EF" w:rsidP="000A590C">
      <w:pPr>
        <w:spacing w:after="120"/>
        <w:rPr>
          <w:b/>
          <w:bCs/>
          <w:i/>
          <w:iCs/>
        </w:rPr>
      </w:pPr>
      <w:r>
        <w:rPr>
          <w:b/>
          <w:bCs/>
          <w:i/>
          <w:iCs/>
        </w:rPr>
        <w:t>Disclaimer</w:t>
      </w:r>
    </w:p>
    <w:p w14:paraId="766C8F98" w14:textId="25506909" w:rsidR="00781F10" w:rsidRPr="008855EF" w:rsidRDefault="008855EF" w:rsidP="008855EF">
      <w:r>
        <w:rPr>
          <w:i/>
          <w:iCs/>
        </w:rPr>
        <w:t>This guide specification is to be project adjusted to suit project specific project and site requirements and is not to be used as a stand-alone document.</w:t>
      </w:r>
    </w:p>
    <w:sectPr w:rsidR="00781F10" w:rsidRPr="008855EF" w:rsidSect="000D788D">
      <w:headerReference w:type="default"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0FE8" w14:textId="77777777" w:rsidR="000D27CC" w:rsidRDefault="000D27CC" w:rsidP="000D788D">
      <w:pPr>
        <w:spacing w:before="0" w:after="0" w:line="240" w:lineRule="auto"/>
      </w:pPr>
      <w:r>
        <w:separator/>
      </w:r>
    </w:p>
  </w:endnote>
  <w:endnote w:type="continuationSeparator" w:id="0">
    <w:p w14:paraId="65A88B4F" w14:textId="77777777" w:rsidR="000D27CC" w:rsidRDefault="000D27CC" w:rsidP="000D7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723" w14:textId="1F7C4493" w:rsidR="000D788D" w:rsidRPr="000D788D" w:rsidRDefault="000D788D">
    <w:pPr>
      <w:pStyle w:val="Footer"/>
      <w:rPr>
        <w:i/>
        <w:iCs/>
        <w:sz w:val="18"/>
        <w:szCs w:val="18"/>
      </w:rPr>
    </w:pPr>
    <w:r w:rsidRPr="000D788D">
      <w:rPr>
        <w:i/>
        <w:iCs/>
        <w:sz w:val="18"/>
        <w:szCs w:val="18"/>
      </w:rPr>
      <w:t>© ADX Depot 2020</w:t>
    </w:r>
    <w:r w:rsidRPr="000D788D">
      <w:rPr>
        <w:i/>
        <w:iCs/>
        <w:sz w:val="18"/>
        <w:szCs w:val="18"/>
      </w:rPr>
      <w:ptab w:relativeTo="margin" w:alignment="center" w:leader="none"/>
    </w:r>
    <w:r w:rsidRPr="000D788D">
      <w:rPr>
        <w:i/>
        <w:iCs/>
        <w:sz w:val="18"/>
        <w:szCs w:val="18"/>
      </w:rPr>
      <w:fldChar w:fldCharType="begin"/>
    </w:r>
    <w:r w:rsidRPr="000D788D">
      <w:rPr>
        <w:i/>
        <w:iCs/>
        <w:sz w:val="18"/>
        <w:szCs w:val="18"/>
      </w:rPr>
      <w:instrText xml:space="preserve"> PAGE   \* MERGEFORMAT </w:instrText>
    </w:r>
    <w:r w:rsidRPr="000D788D">
      <w:rPr>
        <w:i/>
        <w:iCs/>
        <w:sz w:val="18"/>
        <w:szCs w:val="18"/>
      </w:rPr>
      <w:fldChar w:fldCharType="separate"/>
    </w:r>
    <w:r w:rsidRPr="000D788D">
      <w:rPr>
        <w:i/>
        <w:iCs/>
        <w:noProof/>
        <w:sz w:val="18"/>
        <w:szCs w:val="18"/>
      </w:rPr>
      <w:t>1</w:t>
    </w:r>
    <w:r w:rsidRPr="000D788D">
      <w:rPr>
        <w:i/>
        <w:iCs/>
        <w:noProof/>
        <w:sz w:val="18"/>
        <w:szCs w:val="18"/>
      </w:rPr>
      <w:fldChar w:fldCharType="end"/>
    </w:r>
    <w:r w:rsidRPr="000D788D">
      <w:rPr>
        <w:i/>
        <w:iCs/>
        <w:sz w:val="18"/>
        <w:szCs w:val="18"/>
      </w:rPr>
      <w:ptab w:relativeTo="margin" w:alignment="right" w:leader="none"/>
    </w:r>
    <w:r w:rsidRPr="000D788D">
      <w:rPr>
        <w:i/>
        <w:iCs/>
        <w:sz w:val="18"/>
        <w:szCs w:val="18"/>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0414" w14:textId="77777777" w:rsidR="000D27CC" w:rsidRDefault="000D27CC" w:rsidP="000D788D">
      <w:pPr>
        <w:spacing w:before="0" w:after="0" w:line="240" w:lineRule="auto"/>
      </w:pPr>
      <w:r>
        <w:separator/>
      </w:r>
    </w:p>
  </w:footnote>
  <w:footnote w:type="continuationSeparator" w:id="0">
    <w:p w14:paraId="7DAA9A30" w14:textId="77777777" w:rsidR="000D27CC" w:rsidRDefault="000D27CC" w:rsidP="000D7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BA70" w14:textId="4AA934D4" w:rsidR="000D788D" w:rsidRDefault="008855EF">
    <w:pPr>
      <w:pStyle w:val="Header"/>
    </w:pPr>
    <w:r>
      <w:rPr>
        <w:b/>
        <w:bCs/>
        <w:i/>
        <w:iCs/>
      </w:rPr>
      <w:t xml:space="preserve">Guide </w:t>
    </w:r>
    <w:r w:rsidR="000D788D">
      <w:rPr>
        <w:b/>
        <w:bCs/>
        <w:i/>
        <w:iCs/>
      </w:rPr>
      <w:t xml:space="preserve">Specification                </w:t>
    </w:r>
    <w:r w:rsidR="000D788D">
      <w:rPr>
        <w:b/>
        <w:bCs/>
        <w:i/>
        <w:iCs/>
      </w:rPr>
      <w:tab/>
      <w:t xml:space="preserve">        </w:t>
    </w:r>
    <w:r>
      <w:rPr>
        <w:b/>
        <w:bCs/>
        <w:i/>
        <w:iCs/>
      </w:rPr>
      <w:t xml:space="preserve">        </w:t>
    </w:r>
    <w:r w:rsidR="000D788D" w:rsidRPr="00FF2F65">
      <w:rPr>
        <w:b/>
        <w:bCs/>
        <w:i/>
        <w:iCs/>
      </w:rPr>
      <w:t xml:space="preserve">Metinno </w:t>
    </w:r>
    <w:r>
      <w:rPr>
        <w:b/>
        <w:bCs/>
        <w:i/>
        <w:iCs/>
      </w:rPr>
      <w:t>Product Portfolio Technical Information</w:t>
    </w:r>
    <w:r w:rsidR="000D788D">
      <w:rPr>
        <w:b/>
        <w:bCs/>
        <w:i/>
        <w:iCs/>
        <w:sz w:val="18"/>
        <w:szCs w:val="18"/>
      </w:rPr>
      <w:t xml:space="preserve">                           </w:t>
    </w:r>
    <w:r w:rsidR="000D788D">
      <w:rPr>
        <w:b/>
        <w:bCs/>
        <w:i/>
        <w:iCs/>
        <w:sz w:val="18"/>
        <w:szCs w:val="18"/>
      </w:rPr>
      <w:br/>
      <w:t xml:space="preserve">  </w:t>
    </w:r>
    <w:r w:rsidR="000D788D">
      <w:rPr>
        <w:b/>
        <w:bCs/>
        <w:i/>
        <w:iCs/>
        <w:sz w:val="18"/>
        <w:szCs w:val="18"/>
      </w:rPr>
      <w:tab/>
      <w:t xml:space="preserve">                                                                                                              </w:t>
    </w:r>
    <w:hyperlink r:id="rId1" w:history="1">
      <w:r w:rsidR="000D788D" w:rsidRPr="002063A4">
        <w:rPr>
          <w:rStyle w:val="Hyperlink"/>
          <w:rFonts w:cs="Arial"/>
          <w:b/>
          <w:bCs/>
          <w:i/>
          <w:iCs/>
          <w:sz w:val="18"/>
          <w:szCs w:val="18"/>
        </w:rPr>
        <w:t>www.adxarchitectural.com.au/resources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DA8"/>
    <w:multiLevelType w:val="hybridMultilevel"/>
    <w:tmpl w:val="F8C8D77A"/>
    <w:lvl w:ilvl="0" w:tplc="DE1A41BC">
      <w:start w:val="1"/>
      <w:numFmt w:val="bullet"/>
      <w:lvlText w:val="­"/>
      <w:lvlJc w:val="left"/>
      <w:pPr>
        <w:tabs>
          <w:tab w:val="num" w:pos="360"/>
        </w:tabs>
        <w:ind w:left="360" w:hanging="360"/>
      </w:pPr>
      <w:rPr>
        <w:rFonts w:ascii="Times New Roman" w:hint="default"/>
      </w:rPr>
    </w:lvl>
    <w:lvl w:ilvl="1" w:tplc="0C090003" w:tentative="1">
      <w:start w:val="1"/>
      <w:numFmt w:val="bullet"/>
      <w:lvlText w:val="o"/>
      <w:lvlJc w:val="left"/>
      <w:pPr>
        <w:ind w:left="1380" w:hanging="360"/>
      </w:pPr>
      <w:rPr>
        <w:rFonts w:ascii="Courier New" w:hAnsi="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2AFE12E0"/>
    <w:multiLevelType w:val="hybridMultilevel"/>
    <w:tmpl w:val="9E1E66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82349AF"/>
    <w:multiLevelType w:val="hybridMultilevel"/>
    <w:tmpl w:val="1E6EA60E"/>
    <w:lvl w:ilvl="0" w:tplc="11EA9DCE">
      <w:numFmt w:val="bullet"/>
      <w:pStyle w:val="NormalIndent"/>
      <w:lvlText w:val="-"/>
      <w:lvlJc w:val="left"/>
      <w:pPr>
        <w:tabs>
          <w:tab w:val="num" w:pos="0"/>
        </w:tabs>
        <w:ind w:left="210" w:hanging="21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72C56"/>
    <w:multiLevelType w:val="hybridMultilevel"/>
    <w:tmpl w:val="330E2828"/>
    <w:lvl w:ilvl="0" w:tplc="3704F0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5" w15:restartNumberingAfterBreak="0">
    <w:nsid w:val="67B83F92"/>
    <w:multiLevelType w:val="hybridMultilevel"/>
    <w:tmpl w:val="768C70B4"/>
    <w:lvl w:ilvl="0" w:tplc="7562D600">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5B575B2"/>
    <w:multiLevelType w:val="hybridMultilevel"/>
    <w:tmpl w:val="DD00D848"/>
    <w:lvl w:ilvl="0" w:tplc="E1E6DD7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D"/>
    <w:rsid w:val="000A590C"/>
    <w:rsid w:val="000D27CC"/>
    <w:rsid w:val="000D788D"/>
    <w:rsid w:val="002577F5"/>
    <w:rsid w:val="00401FD8"/>
    <w:rsid w:val="004308DF"/>
    <w:rsid w:val="00583B43"/>
    <w:rsid w:val="005904FA"/>
    <w:rsid w:val="00781F10"/>
    <w:rsid w:val="007D4A53"/>
    <w:rsid w:val="008855EF"/>
    <w:rsid w:val="009E2235"/>
    <w:rsid w:val="00B1405E"/>
    <w:rsid w:val="00BA4711"/>
    <w:rsid w:val="00BB010B"/>
    <w:rsid w:val="00C04D9F"/>
    <w:rsid w:val="00E7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781"/>
  <w15:chartTrackingRefBased/>
  <w15:docId w15:val="{2E9487EE-A3A2-4492-BF9F-B74F657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X Normal"/>
    <w:qFormat/>
    <w:rsid w:val="00E74C12"/>
    <w:pPr>
      <w:spacing w:before="120" w:after="280"/>
    </w:pPr>
    <w:rPr>
      <w:rFonts w:ascii="Arial" w:hAnsi="Arial"/>
    </w:rPr>
  </w:style>
  <w:style w:type="paragraph" w:styleId="Heading1">
    <w:name w:val="heading 1"/>
    <w:aliases w:val="ADX Heading 1"/>
    <w:basedOn w:val="Normal"/>
    <w:next w:val="Normal"/>
    <w:link w:val="Heading1Char"/>
    <w:autoRedefine/>
    <w:uiPriority w:val="9"/>
    <w:qFormat/>
    <w:rsid w:val="00E74C12"/>
    <w:pPr>
      <w:keepNext/>
      <w:keepLines/>
      <w:spacing w:before="240" w:after="0"/>
      <w:outlineLvl w:val="0"/>
    </w:pPr>
    <w:rPr>
      <w:rFonts w:eastAsiaTheme="majorEastAsia" w:cstheme="majorBidi"/>
      <w:b/>
      <w:color w:val="49A942"/>
      <w:sz w:val="50"/>
      <w:szCs w:val="32"/>
    </w:rPr>
  </w:style>
  <w:style w:type="paragraph" w:styleId="Heading2">
    <w:name w:val="heading 2"/>
    <w:aliases w:val="ADX Heading 2"/>
    <w:basedOn w:val="Normal"/>
    <w:next w:val="Normal"/>
    <w:link w:val="Heading2Char"/>
    <w:autoRedefine/>
    <w:uiPriority w:val="9"/>
    <w:semiHidden/>
    <w:unhideWhenUsed/>
    <w:qFormat/>
    <w:rsid w:val="00E74C12"/>
    <w:pPr>
      <w:keepNext/>
      <w:keepLines/>
      <w:spacing w:before="40" w:after="0"/>
      <w:outlineLvl w:val="1"/>
    </w:pPr>
    <w:rPr>
      <w:rFonts w:eastAsiaTheme="majorEastAsia" w:cstheme="majorBidi"/>
      <w:b/>
      <w:color w:val="49A942"/>
      <w:sz w:val="28"/>
      <w:szCs w:val="26"/>
    </w:rPr>
  </w:style>
  <w:style w:type="paragraph" w:styleId="Heading3">
    <w:name w:val="heading 3"/>
    <w:aliases w:val="ADX Heading 3"/>
    <w:basedOn w:val="Normal"/>
    <w:next w:val="Normal"/>
    <w:link w:val="Heading3Char"/>
    <w:autoRedefine/>
    <w:uiPriority w:val="9"/>
    <w:semiHidden/>
    <w:unhideWhenUsed/>
    <w:qFormat/>
    <w:rsid w:val="00C04D9F"/>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81F1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DX Title"/>
    <w:basedOn w:val="Normal"/>
    <w:next w:val="Normal"/>
    <w:link w:val="TitleChar"/>
    <w:autoRedefine/>
    <w:uiPriority w:val="10"/>
    <w:qFormat/>
    <w:rsid w:val="00E74C12"/>
    <w:pPr>
      <w:spacing w:after="0" w:line="240" w:lineRule="auto"/>
      <w:contextualSpacing/>
    </w:pPr>
    <w:rPr>
      <w:rFonts w:eastAsiaTheme="majorEastAsia" w:cstheme="majorBidi"/>
      <w:b/>
      <w:color w:val="49A942"/>
      <w:spacing w:val="-10"/>
      <w:kern w:val="28"/>
      <w:sz w:val="90"/>
      <w:szCs w:val="56"/>
    </w:rPr>
  </w:style>
  <w:style w:type="character" w:customStyle="1" w:styleId="TitleChar">
    <w:name w:val="Title Char"/>
    <w:aliases w:val="ADX Title Char"/>
    <w:basedOn w:val="DefaultParagraphFont"/>
    <w:link w:val="Title"/>
    <w:uiPriority w:val="10"/>
    <w:rsid w:val="00E74C12"/>
    <w:rPr>
      <w:rFonts w:ascii="Arial" w:eastAsiaTheme="majorEastAsia" w:hAnsi="Arial" w:cstheme="majorBidi"/>
      <w:b/>
      <w:color w:val="49A942"/>
      <w:spacing w:val="-10"/>
      <w:kern w:val="28"/>
      <w:sz w:val="90"/>
      <w:szCs w:val="56"/>
    </w:rPr>
  </w:style>
  <w:style w:type="character" w:customStyle="1" w:styleId="Heading1Char">
    <w:name w:val="Heading 1 Char"/>
    <w:aliases w:val="ADX Heading 1 Char"/>
    <w:basedOn w:val="DefaultParagraphFont"/>
    <w:link w:val="Heading1"/>
    <w:uiPriority w:val="9"/>
    <w:rsid w:val="00E74C12"/>
    <w:rPr>
      <w:rFonts w:ascii="Arial" w:eastAsiaTheme="majorEastAsia" w:hAnsi="Arial" w:cstheme="majorBidi"/>
      <w:b/>
      <w:color w:val="49A942"/>
      <w:sz w:val="50"/>
      <w:szCs w:val="32"/>
    </w:rPr>
  </w:style>
  <w:style w:type="character" w:customStyle="1" w:styleId="Heading2Char">
    <w:name w:val="Heading 2 Char"/>
    <w:aliases w:val="ADX Heading 2 Char"/>
    <w:basedOn w:val="DefaultParagraphFont"/>
    <w:link w:val="Heading2"/>
    <w:uiPriority w:val="9"/>
    <w:semiHidden/>
    <w:rsid w:val="00E74C12"/>
    <w:rPr>
      <w:rFonts w:ascii="Arial" w:eastAsiaTheme="majorEastAsia" w:hAnsi="Arial" w:cstheme="majorBidi"/>
      <w:b/>
      <w:color w:val="49A942"/>
      <w:sz w:val="28"/>
      <w:szCs w:val="26"/>
    </w:rPr>
  </w:style>
  <w:style w:type="character" w:customStyle="1" w:styleId="Heading3Char">
    <w:name w:val="Heading 3 Char"/>
    <w:aliases w:val="ADX Heading 3 Char"/>
    <w:basedOn w:val="DefaultParagraphFont"/>
    <w:link w:val="Heading3"/>
    <w:uiPriority w:val="9"/>
    <w:semiHidden/>
    <w:rsid w:val="00C04D9F"/>
    <w:rPr>
      <w:rFonts w:ascii="Arial" w:eastAsiaTheme="majorEastAsia" w:hAnsi="Arial" w:cstheme="majorBidi"/>
      <w:b/>
      <w:sz w:val="24"/>
      <w:szCs w:val="24"/>
    </w:rPr>
  </w:style>
  <w:style w:type="paragraph" w:styleId="Header">
    <w:name w:val="header"/>
    <w:basedOn w:val="Normal"/>
    <w:link w:val="HeaderChar"/>
    <w:uiPriority w:val="99"/>
    <w:unhideWhenUsed/>
    <w:rsid w:val="000D78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788D"/>
    <w:rPr>
      <w:rFonts w:ascii="Arial" w:hAnsi="Arial"/>
    </w:rPr>
  </w:style>
  <w:style w:type="paragraph" w:styleId="Footer">
    <w:name w:val="footer"/>
    <w:basedOn w:val="Normal"/>
    <w:link w:val="FooterChar"/>
    <w:uiPriority w:val="99"/>
    <w:unhideWhenUsed/>
    <w:rsid w:val="000D78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788D"/>
    <w:rPr>
      <w:rFonts w:ascii="Arial" w:hAnsi="Arial"/>
    </w:rPr>
  </w:style>
  <w:style w:type="character" w:styleId="Hyperlink">
    <w:name w:val="Hyperlink"/>
    <w:uiPriority w:val="99"/>
    <w:unhideWhenUsed/>
    <w:rsid w:val="000D788D"/>
    <w:rPr>
      <w:rFonts w:cs="Times New Roman"/>
      <w:color w:val="0000FF"/>
      <w:u w:val="single"/>
    </w:rPr>
  </w:style>
  <w:style w:type="paragraph" w:customStyle="1" w:styleId="Instructions">
    <w:name w:val="Instructions"/>
    <w:basedOn w:val="Normal"/>
    <w:rsid w:val="00583B43"/>
    <w:pPr>
      <w:pBdr>
        <w:top w:val="single" w:sz="4" w:space="1" w:color="auto"/>
        <w:left w:val="single" w:sz="4" w:space="4" w:color="auto"/>
        <w:bottom w:val="single" w:sz="4" w:space="1" w:color="auto"/>
        <w:right w:val="single" w:sz="4" w:space="4" w:color="auto"/>
      </w:pBdr>
      <w:tabs>
        <w:tab w:val="left" w:pos="3969"/>
      </w:tabs>
      <w:spacing w:before="0" w:after="60" w:line="220" w:lineRule="exact"/>
    </w:pPr>
    <w:rPr>
      <w:rFonts w:eastAsia="Times New Roman" w:cs="Times New Roman"/>
      <w:vanish/>
      <w:color w:val="008000"/>
      <w:sz w:val="16"/>
      <w:szCs w:val="20"/>
    </w:rPr>
  </w:style>
  <w:style w:type="paragraph" w:customStyle="1" w:styleId="Instructionsindent">
    <w:name w:val="Instructions indent"/>
    <w:rsid w:val="00583B43"/>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rPr>
  </w:style>
  <w:style w:type="paragraph" w:styleId="NormalIndent">
    <w:name w:val="Normal Indent"/>
    <w:basedOn w:val="Normal"/>
    <w:uiPriority w:val="99"/>
    <w:rsid w:val="00583B43"/>
    <w:pPr>
      <w:numPr>
        <w:numId w:val="4"/>
      </w:numPr>
      <w:tabs>
        <w:tab w:val="left" w:pos="210"/>
        <w:tab w:val="left" w:pos="3969"/>
      </w:tabs>
      <w:spacing w:before="0" w:after="60" w:line="240" w:lineRule="auto"/>
    </w:pPr>
    <w:rPr>
      <w:rFonts w:eastAsia="Times New Roman" w:cs="Times New Roman"/>
      <w:sz w:val="20"/>
      <w:szCs w:val="20"/>
    </w:rPr>
  </w:style>
  <w:style w:type="character" w:styleId="PageNumber">
    <w:name w:val="page number"/>
    <w:uiPriority w:val="99"/>
    <w:rsid w:val="00583B43"/>
  </w:style>
  <w:style w:type="character" w:customStyle="1" w:styleId="Heading4Char">
    <w:name w:val="Heading 4 Char"/>
    <w:basedOn w:val="DefaultParagraphFont"/>
    <w:link w:val="Heading4"/>
    <w:uiPriority w:val="9"/>
    <w:semiHidden/>
    <w:rsid w:val="00781F10"/>
    <w:rPr>
      <w:rFonts w:ascii="Calibri" w:eastAsia="Times New Roman" w:hAnsi="Calibri" w:cs="Times New Roman"/>
      <w:b/>
      <w:bCs/>
      <w:sz w:val="28"/>
      <w:szCs w:val="28"/>
    </w:rPr>
  </w:style>
  <w:style w:type="paragraph" w:customStyle="1" w:styleId="Standard">
    <w:name w:val="Standard"/>
    <w:basedOn w:val="Normal"/>
    <w:rsid w:val="00781F10"/>
    <w:pPr>
      <w:tabs>
        <w:tab w:val="left" w:pos="2125"/>
        <w:tab w:val="left" w:pos="3118"/>
      </w:tabs>
      <w:spacing w:before="0" w:after="0" w:line="240" w:lineRule="auto"/>
      <w:ind w:left="3119" w:hanging="2268"/>
    </w:pPr>
    <w:rPr>
      <w:rFonts w:eastAsia="Times New Roman" w:cs="Angsana New"/>
      <w:sz w:val="20"/>
      <w:szCs w:val="20"/>
      <w:lang w:eastAsia="en-AU" w:bidi="th-TH"/>
    </w:rPr>
  </w:style>
  <w:style w:type="paragraph" w:styleId="BodyText2">
    <w:name w:val="Body Text 2"/>
    <w:basedOn w:val="Normal"/>
    <w:link w:val="BodyText2Char"/>
    <w:uiPriority w:val="99"/>
    <w:rsid w:val="008855EF"/>
    <w:pPr>
      <w:spacing w:before="0" w:after="0" w:line="240" w:lineRule="auto"/>
    </w:pPr>
    <w:rPr>
      <w:rFonts w:eastAsia="Times New Roman" w:cs="Arial"/>
      <w:i/>
      <w:iCs/>
    </w:rPr>
  </w:style>
  <w:style w:type="character" w:customStyle="1" w:styleId="BodyText2Char">
    <w:name w:val="Body Text 2 Char"/>
    <w:basedOn w:val="DefaultParagraphFont"/>
    <w:link w:val="BodyText2"/>
    <w:uiPriority w:val="99"/>
    <w:rsid w:val="008855EF"/>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xarchitectural.com.au/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adxarchitectural.com.a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Bauer | adxdepot</dc:creator>
  <cp:keywords/>
  <dc:description/>
  <cp:lastModifiedBy>Alice Whitelum | adxdepot</cp:lastModifiedBy>
  <cp:revision>3</cp:revision>
  <dcterms:created xsi:type="dcterms:W3CDTF">2020-05-11T04:23:00Z</dcterms:created>
  <dcterms:modified xsi:type="dcterms:W3CDTF">2020-05-11T04:39:00Z</dcterms:modified>
</cp:coreProperties>
</file>